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A077DB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69444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6944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5461D0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944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957146">
        <w:rPr>
          <w:rFonts w:ascii="Times New Roman" w:hAnsi="Times New Roman" w:cs="Times New Roman"/>
          <w:sz w:val="24"/>
          <w:szCs w:val="24"/>
        </w:rPr>
        <w:t>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694448" w:rsidRPr="00694448" w:rsidRDefault="00694448" w:rsidP="00694448">
      <w:pPr>
        <w:pStyle w:val="ae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членове на Общинска избирателна комисия Трявна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Pr="0069444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694448" w:rsidRPr="00694448" w:rsidRDefault="00694448" w:rsidP="00694448">
      <w:pPr>
        <w:pStyle w:val="ae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относно предаване на общинска администрация на книжа и материали след произвеждане на изборите за общински </w:t>
      </w:r>
      <w:proofErr w:type="spellStart"/>
      <w:r w:rsidRPr="0069444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694448" w:rsidRPr="00694448" w:rsidRDefault="00694448" w:rsidP="00694448">
      <w:pPr>
        <w:pStyle w:val="ae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относно начина на сгъване на бюлетината и откъсване на полето с номера при гласуване в изборите за общински </w:t>
      </w:r>
      <w:proofErr w:type="spellStart"/>
      <w:r w:rsidRPr="0069444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694448" w:rsidRPr="00694448" w:rsidRDefault="00694448" w:rsidP="00694448">
      <w:pPr>
        <w:pStyle w:val="ae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относно изключване на заснемащи устройства в изборните помещения при произвеждане на изборите за общински </w:t>
      </w:r>
      <w:proofErr w:type="spellStart"/>
      <w:r w:rsidRPr="0069444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694448" w:rsidRPr="00694448" w:rsidRDefault="00694448" w:rsidP="00694448">
      <w:pPr>
        <w:pStyle w:val="ae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относно реда за предаване от СИК на Общинска избирателна комисия Трявна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69444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9444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2019г.</w:t>
      </w:r>
    </w:p>
    <w:p w:rsidR="00694448" w:rsidRDefault="00694448" w:rsidP="00694448">
      <w:pPr>
        <w:pStyle w:val="ae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448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694448" w:rsidRPr="00694448" w:rsidRDefault="00694448" w:rsidP="00694448">
      <w:pPr>
        <w:pStyle w:val="ae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13C74" w:rsidRPr="005461D0" w:rsidRDefault="00AB462B" w:rsidP="0069444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694448">
        <w:rPr>
          <w:rFonts w:ascii="Times New Roman" w:hAnsi="Times New Roman" w:cs="Times New Roman"/>
          <w:sz w:val="24"/>
          <w:szCs w:val="24"/>
        </w:rPr>
        <w:t>100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694448">
        <w:rPr>
          <w:rFonts w:ascii="Times New Roman" w:hAnsi="Times New Roman" w:cs="Times New Roman"/>
          <w:sz w:val="24"/>
          <w:szCs w:val="24"/>
        </w:rPr>
        <w:t>1</w:t>
      </w:r>
      <w:r w:rsidR="00F4160F">
        <w:rPr>
          <w:rFonts w:ascii="Times New Roman" w:hAnsi="Times New Roman" w:cs="Times New Roman"/>
          <w:sz w:val="24"/>
          <w:szCs w:val="24"/>
        </w:rPr>
        <w:t>7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273492" w:rsidRPr="00DE2E23" w:rsidRDefault="00273492" w:rsidP="0027349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            1. Определя следните членове на Общинска избирателна комисия </w:t>
      </w:r>
      <w:r>
        <w:rPr>
          <w:color w:val="333333"/>
        </w:rPr>
        <w:t>Трявна</w:t>
      </w:r>
      <w:r w:rsidRPr="00DE2E23">
        <w:rPr>
          <w:color w:val="333333"/>
        </w:rPr>
        <w:t xml:space="preserve">, които да предадат по опис с протокол на ТЗ на ГД „ГРАО“ пликовете по т. 1 от Решение № 1129-МИ от 18.09.2019 г. на ЦИК с книжата в тях </w:t>
      </w:r>
      <w:r>
        <w:rPr>
          <w:color w:val="333333"/>
        </w:rPr>
        <w:t>не по-късно от 31 октомври 2019</w:t>
      </w:r>
      <w:r w:rsidRPr="00DE2E23">
        <w:rPr>
          <w:color w:val="333333"/>
        </w:rPr>
        <w:t>г. (</w:t>
      </w:r>
      <w:r>
        <w:rPr>
          <w:color w:val="333333"/>
        </w:rPr>
        <w:t>за първи тур) и 07 ноември 2019</w:t>
      </w:r>
      <w:r w:rsidRPr="00DE2E23">
        <w:rPr>
          <w:color w:val="333333"/>
        </w:rPr>
        <w:t>г. (за втори тур):</w:t>
      </w:r>
    </w:p>
    <w:p w:rsidR="00273492" w:rsidRPr="00DE2E23" w:rsidRDefault="00273492" w:rsidP="0027349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- </w:t>
      </w:r>
      <w:r>
        <w:rPr>
          <w:color w:val="333333"/>
        </w:rPr>
        <w:t xml:space="preserve">Антоанета </w:t>
      </w:r>
      <w:proofErr w:type="spellStart"/>
      <w:r>
        <w:rPr>
          <w:color w:val="333333"/>
        </w:rPr>
        <w:t>Добринова</w:t>
      </w:r>
      <w:proofErr w:type="spellEnd"/>
      <w:r>
        <w:rPr>
          <w:color w:val="333333"/>
        </w:rPr>
        <w:t xml:space="preserve"> Иванова - Председател,</w:t>
      </w:r>
    </w:p>
    <w:p w:rsidR="00273492" w:rsidRPr="00DE2E23" w:rsidRDefault="00273492" w:rsidP="0027349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- </w:t>
      </w:r>
      <w:r>
        <w:rPr>
          <w:color w:val="333333"/>
        </w:rPr>
        <w:t xml:space="preserve">Диана Атанасова </w:t>
      </w:r>
      <w:proofErr w:type="spellStart"/>
      <w:r>
        <w:rPr>
          <w:color w:val="333333"/>
        </w:rPr>
        <w:t>Даначева</w:t>
      </w:r>
      <w:proofErr w:type="spellEnd"/>
      <w:r>
        <w:rPr>
          <w:color w:val="333333"/>
        </w:rPr>
        <w:t xml:space="preserve"> – Зам. председател</w:t>
      </w:r>
    </w:p>
    <w:p w:rsidR="00273492" w:rsidRPr="00DE2E23" w:rsidRDefault="00273492" w:rsidP="0027349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>-</w:t>
      </w:r>
      <w:r>
        <w:rPr>
          <w:color w:val="333333"/>
        </w:rPr>
        <w:t xml:space="preserve"> </w:t>
      </w:r>
      <w:r w:rsidRPr="00085828">
        <w:rPr>
          <w:color w:val="333333"/>
        </w:rPr>
        <w:t>Славчо Колев Славчев</w:t>
      </w:r>
      <w:r>
        <w:rPr>
          <w:color w:val="333333"/>
        </w:rPr>
        <w:t xml:space="preserve"> - Член</w:t>
      </w:r>
    </w:p>
    <w:p w:rsidR="00273492" w:rsidRDefault="00273492" w:rsidP="0027349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            2. За предаването на списъците по т. 1 от настоящото решение се съставя протокол в два екземпляра между Общинска избирателна комисия </w:t>
      </w:r>
      <w:r>
        <w:rPr>
          <w:color w:val="333333"/>
        </w:rPr>
        <w:t>Трявна</w:t>
      </w:r>
      <w:r w:rsidRPr="00DE2E23">
        <w:rPr>
          <w:color w:val="333333"/>
        </w:rPr>
        <w:t xml:space="preserve"> и съответното звено на ГД „ГРАО“.</w:t>
      </w:r>
      <w:r>
        <w:rPr>
          <w:color w:val="333333"/>
        </w:rPr>
        <w:t xml:space="preserve"> </w:t>
      </w:r>
    </w:p>
    <w:p w:rsidR="00F4160F" w:rsidRPr="005461D0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83A90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83A90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83A90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83A90" w:rsidRPr="005461D0">
        <w:rPr>
          <w:rFonts w:ascii="Times New Roman" w:hAnsi="Times New Roman" w:cs="Times New Roman"/>
          <w:sz w:val="24"/>
          <w:szCs w:val="24"/>
        </w:rPr>
        <w:t>Д</w:t>
      </w:r>
      <w:r w:rsidR="00683A90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83A90">
        <w:rPr>
          <w:rFonts w:ascii="Times New Roman" w:hAnsi="Times New Roman" w:cs="Times New Roman"/>
          <w:sz w:val="24"/>
          <w:szCs w:val="24"/>
        </w:rPr>
        <w:t xml:space="preserve">, </w:t>
      </w:r>
      <w:r w:rsidR="00683A90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83A90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A90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90D05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D05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4160F" w:rsidRPr="005461D0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683A90">
        <w:rPr>
          <w:rFonts w:ascii="Times New Roman" w:hAnsi="Times New Roman" w:cs="Times New Roman"/>
          <w:sz w:val="24"/>
          <w:szCs w:val="24"/>
        </w:rPr>
        <w:t>101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683A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center"/>
        <w:outlineLvl w:val="0"/>
        <w:rPr>
          <w:color w:val="333333"/>
        </w:rPr>
      </w:pP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3B1A08">
        <w:rPr>
          <w:color w:val="333333"/>
        </w:rPr>
        <w:t xml:space="preserve">1.Определя следните членове на Общинска избирателна комисия </w:t>
      </w:r>
      <w:r>
        <w:rPr>
          <w:color w:val="333333"/>
        </w:rPr>
        <w:t>Трявна</w:t>
      </w:r>
      <w:r w:rsidRPr="003B1A08">
        <w:rPr>
          <w:color w:val="333333"/>
        </w:rPr>
        <w:t xml:space="preserve"> да предадат на общинска администрация екземплярите от </w:t>
      </w:r>
      <w:proofErr w:type="spellStart"/>
      <w:r w:rsidRPr="003B1A08">
        <w:rPr>
          <w:color w:val="333333"/>
        </w:rPr>
        <w:t>приемо-предавателните</w:t>
      </w:r>
      <w:proofErr w:type="spellEnd"/>
      <w:r w:rsidRPr="003B1A08">
        <w:rPr>
          <w:color w:val="333333"/>
        </w:rPr>
        <w:t xml:space="preserve"> протоколи (Приложение № 88-МИ от изборните книжа) за Общинска избирателна комисия Трявна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3B1A08">
        <w:rPr>
          <w:color w:val="333333"/>
        </w:rPr>
        <w:lastRenderedPageBreak/>
        <w:t>-</w:t>
      </w:r>
      <w:r w:rsidRPr="00BA0487">
        <w:t xml:space="preserve"> </w:t>
      </w:r>
      <w:r w:rsidRPr="00BA0487">
        <w:rPr>
          <w:color w:val="333333"/>
        </w:rPr>
        <w:t>Митко Иванов Рашков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3B1A08">
        <w:rPr>
          <w:color w:val="333333"/>
        </w:rPr>
        <w:t>-</w:t>
      </w:r>
      <w:r w:rsidRPr="00BA0487">
        <w:t xml:space="preserve"> </w:t>
      </w:r>
      <w:r w:rsidRPr="00BA0487">
        <w:rPr>
          <w:color w:val="333333"/>
        </w:rPr>
        <w:t>Снежана Тодорова Иванова-Бонева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3B1A08">
        <w:rPr>
          <w:color w:val="333333"/>
        </w:rPr>
        <w:t xml:space="preserve">2. Екземплярите от </w:t>
      </w:r>
      <w:proofErr w:type="spellStart"/>
      <w:r w:rsidRPr="003B1A08">
        <w:rPr>
          <w:color w:val="333333"/>
        </w:rPr>
        <w:t>приемо-предавателните</w:t>
      </w:r>
      <w:proofErr w:type="spellEnd"/>
      <w:r w:rsidRPr="003B1A08">
        <w:rPr>
          <w:color w:val="333333"/>
        </w:rPr>
        <w:t xml:space="preserve"> протоколи (Приложение № 88-МИ от изборните книжа) за Общинска избирателна комисия </w:t>
      </w:r>
      <w:r>
        <w:rPr>
          <w:color w:val="333333"/>
        </w:rPr>
        <w:t>Трявна</w:t>
      </w:r>
      <w:r w:rsidRPr="003B1A08">
        <w:rPr>
          <w:color w:val="333333"/>
        </w:rPr>
        <w:t xml:space="preserve"> и оригиналите на сгрешените секционни протоколи се предават от Общинска избирателна комисия </w:t>
      </w:r>
      <w:r>
        <w:rPr>
          <w:color w:val="333333"/>
        </w:rPr>
        <w:t>Трявна</w:t>
      </w:r>
      <w:r w:rsidRPr="003B1A08">
        <w:rPr>
          <w:color w:val="333333"/>
        </w:rPr>
        <w:t xml:space="preserve">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3B1A08">
        <w:rPr>
          <w:color w:val="333333"/>
        </w:rPr>
        <w:t xml:space="preserve">3. Екземплярите от </w:t>
      </w:r>
      <w:proofErr w:type="spellStart"/>
      <w:r w:rsidRPr="003B1A08">
        <w:rPr>
          <w:color w:val="333333"/>
        </w:rPr>
        <w:t>приемо-предавателните</w:t>
      </w:r>
      <w:proofErr w:type="spellEnd"/>
      <w:r w:rsidRPr="003B1A08">
        <w:rPr>
          <w:color w:val="333333"/>
        </w:rPr>
        <w:t xml:space="preserve">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61420C" w:rsidRDefault="0061420C" w:rsidP="0061420C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3B1A08">
        <w:rPr>
          <w:color w:val="333333"/>
        </w:rPr>
        <w:t xml:space="preserve">4. Копие от настоящото Решение да се изпрати до Кмета на община </w:t>
      </w:r>
      <w:r>
        <w:rPr>
          <w:color w:val="333333"/>
        </w:rPr>
        <w:t>Трявна</w:t>
      </w:r>
      <w:r w:rsidRPr="003B1A08">
        <w:rPr>
          <w:color w:val="333333"/>
        </w:rPr>
        <w:t xml:space="preserve"> за сведение и изпълнение.</w:t>
      </w:r>
    </w:p>
    <w:p w:rsidR="00683A90" w:rsidRDefault="00683A90" w:rsidP="00683A9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683A90" w:rsidRDefault="00683A90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683A90" w:rsidRPr="006D532F" w:rsidRDefault="00683A90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F4160F" w:rsidRDefault="00F4160F" w:rsidP="00F4160F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4160F" w:rsidRPr="00F4160F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683A90">
        <w:rPr>
          <w:rFonts w:ascii="Times New Roman" w:hAnsi="Times New Roman" w:cs="Times New Roman"/>
          <w:sz w:val="24"/>
          <w:szCs w:val="24"/>
        </w:rPr>
        <w:t>102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683A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 xml:space="preserve">ОТНОСНО: начина на сгъване на бюлетината и откъсване на полето с номера при гласуване в изборите за общински </w:t>
      </w:r>
      <w:proofErr w:type="spellStart"/>
      <w:r w:rsidRPr="00EF5231">
        <w:rPr>
          <w:color w:val="333333"/>
        </w:rPr>
        <w:t>съветници</w:t>
      </w:r>
      <w:proofErr w:type="spellEnd"/>
      <w:r w:rsidRPr="00EF5231">
        <w:rPr>
          <w:color w:val="333333"/>
        </w:rPr>
        <w:t xml:space="preserve"> и за кметове, н</w:t>
      </w:r>
      <w:r>
        <w:rPr>
          <w:color w:val="333333"/>
        </w:rPr>
        <w:t>асрочени за 27 октомври 2019 г.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На основание чл. 57, ал. 1, т. 1–3 и чл. 427, ал. 1, ал. 3, т. 3 и 4, ал. 4, т. 2 и 3 и ал. 5 от Изборния кодекс и на основание Решение № 1362-МИ/10.</w:t>
      </w:r>
      <w:proofErr w:type="spellStart"/>
      <w:r w:rsidRPr="00EF5231">
        <w:rPr>
          <w:color w:val="333333"/>
        </w:rPr>
        <w:t>10</w:t>
      </w:r>
      <w:proofErr w:type="spellEnd"/>
      <w:r w:rsidRPr="00EF5231">
        <w:rPr>
          <w:color w:val="333333"/>
        </w:rPr>
        <w:t xml:space="preserve">.2019г на Централната избирателна комисия, Общинска избирателна комисия </w:t>
      </w:r>
      <w:r>
        <w:rPr>
          <w:color w:val="333333"/>
        </w:rPr>
        <w:t>–</w:t>
      </w:r>
      <w:r w:rsidRPr="00EF5231">
        <w:rPr>
          <w:color w:val="333333"/>
        </w:rPr>
        <w:t xml:space="preserve"> </w:t>
      </w:r>
      <w:r>
        <w:rPr>
          <w:color w:val="333333"/>
        </w:rPr>
        <w:t>Трявна</w:t>
      </w:r>
      <w:r w:rsidRPr="00EF5231">
        <w:rPr>
          <w:color w:val="333333"/>
        </w:rPr>
        <w:t>,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>
        <w:rPr>
          <w:color w:val="333333"/>
        </w:rPr>
        <w:t>Р Е Ш И: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1.</w:t>
      </w:r>
      <w:r>
        <w:rPr>
          <w:color w:val="333333"/>
        </w:rPr>
        <w:t xml:space="preserve"> </w:t>
      </w:r>
      <w:r w:rsidRPr="00EF5231">
        <w:rPr>
          <w:color w:val="333333"/>
        </w:rPr>
        <w:t xml:space="preserve">Член на секционната избирателна комисия (СИК) откъсва бюлетина за съответния вид избор в изборите за общински </w:t>
      </w:r>
      <w:proofErr w:type="spellStart"/>
      <w:r w:rsidRPr="00EF5231">
        <w:rPr>
          <w:color w:val="333333"/>
        </w:rPr>
        <w:t>съветници</w:t>
      </w:r>
      <w:proofErr w:type="spellEnd"/>
      <w:r w:rsidRPr="00EF5231">
        <w:rPr>
          <w:color w:val="333333"/>
        </w:rPr>
        <w:t xml:space="preserve">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 xml:space="preserve">2. </w:t>
      </w:r>
      <w:r w:rsidRPr="00EF5231">
        <w:rPr>
          <w:color w:val="333333"/>
        </w:rPr>
        <w:t>Членът на СИК сгъва бюлетината пред избирателя по следния начин: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 xml:space="preserve"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</w:t>
      </w:r>
      <w:r w:rsidRPr="00EF5231">
        <w:rPr>
          <w:color w:val="333333"/>
        </w:rPr>
        <w:lastRenderedPageBreak/>
        <w:t>ширина, които остават видими, а местата за полагане на печатите от СИК останат от външната</w:t>
      </w:r>
      <w:r>
        <w:rPr>
          <w:color w:val="333333"/>
        </w:rPr>
        <w:t xml:space="preserve"> видима страна;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2.</w:t>
      </w:r>
      <w:proofErr w:type="spellStart"/>
      <w:r w:rsidRPr="00EF5231">
        <w:rPr>
          <w:color w:val="333333"/>
        </w:rPr>
        <w:t>2</w:t>
      </w:r>
      <w:proofErr w:type="spellEnd"/>
      <w:r w:rsidRPr="00EF5231">
        <w:rPr>
          <w:color w:val="333333"/>
        </w:rPr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Действията по т. 1 и 2 се повтарят за всяка бюлетина за всеки вид избор.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Комисията препоръчва на избирателя, след като отбележи вота си върху бюлетините, да ги сгъне двукратно по този начин.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02605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EF5231">
        <w:rPr>
          <w:color w:val="333333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026051" w:rsidRPr="00EF5231" w:rsidRDefault="00026051" w:rsidP="00026051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B0E7C">
        <w:rPr>
          <w:color w:val="333333"/>
        </w:rPr>
        <w:t>Решението да се предаде на СИК/ПСИК в предизборния ден, заедно с останалите книжа и материали.</w:t>
      </w:r>
    </w:p>
    <w:p w:rsidR="00683A90" w:rsidRDefault="00683A90" w:rsidP="00683A9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683A90" w:rsidRDefault="00683A90" w:rsidP="00683A90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56232">
        <w:rPr>
          <w:color w:val="333333"/>
        </w:rPr>
        <w:t xml:space="preserve">ОТНОСНО: изключване на заснемащи устройства в изборните помещения при произвеждане на изборите за общински </w:t>
      </w:r>
      <w:proofErr w:type="spellStart"/>
      <w:r w:rsidRPr="00556232">
        <w:rPr>
          <w:color w:val="333333"/>
        </w:rPr>
        <w:t>съветници</w:t>
      </w:r>
      <w:proofErr w:type="spellEnd"/>
      <w:r w:rsidRPr="00556232">
        <w:rPr>
          <w:color w:val="333333"/>
        </w:rPr>
        <w:t xml:space="preserve"> и за кметове, н</w:t>
      </w:r>
      <w:r>
        <w:rPr>
          <w:color w:val="333333"/>
        </w:rPr>
        <w:t>асрочени за 27 октомври 2019 г.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56232">
        <w:rPr>
          <w:color w:val="333333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</w:t>
      </w:r>
      <w:proofErr w:type="spellStart"/>
      <w:r w:rsidRPr="00556232">
        <w:rPr>
          <w:color w:val="333333"/>
        </w:rPr>
        <w:t>съветници</w:t>
      </w:r>
      <w:proofErr w:type="spellEnd"/>
      <w:r w:rsidRPr="00556232">
        <w:rPr>
          <w:color w:val="333333"/>
        </w:rPr>
        <w:t xml:space="preserve"> и за кметове  и с цел опазване и защита на лични данни, при спазване принципите в Общия регламент за защита на данните и на основание чл. 72, ал. 1, т. 1,  чл. 3, ал. 1 от ИК,  Общинска избирателна комисия - </w:t>
      </w:r>
      <w:r>
        <w:rPr>
          <w:color w:val="333333"/>
        </w:rPr>
        <w:t>Трявна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>
        <w:rPr>
          <w:color w:val="333333"/>
        </w:rPr>
        <w:t>Р Е Ш И: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56232">
        <w:rPr>
          <w:color w:val="333333"/>
        </w:rPr>
        <w:lastRenderedPageBreak/>
        <w:t xml:space="preserve">В деня на изборите за общински </w:t>
      </w:r>
      <w:proofErr w:type="spellStart"/>
      <w:r w:rsidRPr="00556232"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(27 октомври 2019</w:t>
      </w:r>
      <w:r w:rsidRPr="00556232">
        <w:rPr>
          <w:color w:val="333333"/>
        </w:rPr>
        <w:t xml:space="preserve">г.) на територията на </w:t>
      </w:r>
      <w:r>
        <w:rPr>
          <w:color w:val="333333"/>
        </w:rPr>
        <w:t xml:space="preserve">Община Трявна </w:t>
      </w:r>
      <w:r w:rsidRPr="00556232">
        <w:rPr>
          <w:color w:val="333333"/>
        </w:rPr>
        <w:t>в периода 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56232">
        <w:rPr>
          <w:color w:val="333333"/>
        </w:rPr>
        <w:t>Посоченото в т. 1 се извършва в изборните помещения и при произвеждане на втори тур за избор на кмет.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56232">
        <w:rPr>
          <w:color w:val="333333"/>
        </w:rPr>
        <w:t xml:space="preserve">Общинската избирателна комисия </w:t>
      </w:r>
      <w:r>
        <w:rPr>
          <w:color w:val="333333"/>
        </w:rPr>
        <w:t>осъществява</w:t>
      </w:r>
      <w:r w:rsidRPr="00556232">
        <w:rPr>
          <w:color w:val="333333"/>
        </w:rPr>
        <w:t xml:space="preserve"> контрол за наличие на включени заснемащи устройства в помещенията за гласуване в изборния ден.</w:t>
      </w:r>
    </w:p>
    <w:p w:rsidR="00F27742" w:rsidRPr="00556232" w:rsidRDefault="00F27742" w:rsidP="00F27742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56232">
        <w:rPr>
          <w:color w:val="333333"/>
        </w:rPr>
        <w:t xml:space="preserve">Настоящото решение да се изпрати за сведение и изпълнение на Община </w:t>
      </w:r>
      <w:r>
        <w:rPr>
          <w:color w:val="333333"/>
        </w:rPr>
        <w:t>Трявна</w:t>
      </w:r>
      <w:r w:rsidRPr="00556232">
        <w:rPr>
          <w:color w:val="333333"/>
        </w:rPr>
        <w:t>.</w:t>
      </w:r>
    </w:p>
    <w:p w:rsidR="00F27742" w:rsidRDefault="00F27742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683A90" w:rsidRDefault="00683A90" w:rsidP="00683A90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ОТНОСНО: Реда за предаване от СИК на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D26BBA">
        <w:rPr>
          <w:color w:val="333333"/>
        </w:rPr>
        <w:t>съветници</w:t>
      </w:r>
      <w:proofErr w:type="spellEnd"/>
      <w:r w:rsidRPr="00D26BBA">
        <w:rPr>
          <w:color w:val="333333"/>
        </w:rPr>
        <w:t xml:space="preserve"> и за кметове</w:t>
      </w:r>
      <w:r>
        <w:rPr>
          <w:color w:val="333333"/>
        </w:rPr>
        <w:t>, насрочени за 27 октомври 2019</w:t>
      </w:r>
      <w:r w:rsidRPr="00D26BBA">
        <w:rPr>
          <w:color w:val="333333"/>
        </w:rPr>
        <w:t>г.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На основание чл. 87, ал. 1, т. 1 и чл. 433 от Изборния кодекс, във връзка с и в изпълнение на  Решение № 1180-МИ от 24.09.2019 г.  на Централна избирателна комисия Общинска избирателна комисия </w:t>
      </w:r>
      <w:r>
        <w:rPr>
          <w:color w:val="333333"/>
        </w:rPr>
        <w:t>Трявна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D26BBA">
        <w:rPr>
          <w:color w:val="333333"/>
        </w:rPr>
        <w:t>Р Е Ш И: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                1. Определя начина на връщане на сгрешения протокол (Приложение № 89-МИ и/или Приложение № 90-МИ от изборните книжа) и предаване на новия протокол с </w:t>
      </w:r>
      <w:proofErr w:type="spellStart"/>
      <w:r w:rsidRPr="00D26BBA">
        <w:rPr>
          <w:color w:val="333333"/>
        </w:rPr>
        <w:t>приемо-предавателен</w:t>
      </w:r>
      <w:proofErr w:type="spellEnd"/>
      <w:r w:rsidRPr="00D26BBA">
        <w:rPr>
          <w:color w:val="333333"/>
        </w:rPr>
        <w:t xml:space="preserve"> протокол (Приложение № 88-МИ) от изборните книжа от СИК на Общинска избирателна комисия </w:t>
      </w:r>
      <w:r>
        <w:rPr>
          <w:color w:val="333333"/>
        </w:rPr>
        <w:t>Трявна, както следва: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- ако при приемане и обработка на секционните протоколи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се събира цялата СИК и заедно с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комисии;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lastRenderedPageBreak/>
        <w:t xml:space="preserve"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</w:t>
      </w:r>
      <w:proofErr w:type="spellStart"/>
      <w:r w:rsidRPr="00D26BBA">
        <w:rPr>
          <w:color w:val="333333"/>
        </w:rPr>
        <w:t>приемо-предавателния</w:t>
      </w:r>
      <w:proofErr w:type="spellEnd"/>
      <w:r w:rsidRPr="00D26BBA">
        <w:rPr>
          <w:color w:val="333333"/>
        </w:rPr>
        <w:t xml:space="preserve"> протокол (Приложение № 88-МИ от изборните книжа). След получаване на сгрешения протокол определените членове предават на СИК новия </w:t>
      </w:r>
      <w:r>
        <w:rPr>
          <w:color w:val="333333"/>
        </w:rPr>
        <w:t>формуляр на секционен протокол;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2. 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подписват </w:t>
      </w:r>
      <w:proofErr w:type="spellStart"/>
      <w:r w:rsidRPr="00D26BBA">
        <w:rPr>
          <w:color w:val="333333"/>
        </w:rPr>
        <w:t>приемо-предавателен</w:t>
      </w:r>
      <w:proofErr w:type="spellEnd"/>
      <w:r w:rsidRPr="00D26BBA">
        <w:rPr>
          <w:color w:val="333333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D26BBA">
        <w:rPr>
          <w:color w:val="333333"/>
        </w:rPr>
        <w:t>приемо-предавателният</w:t>
      </w:r>
      <w:proofErr w:type="spellEnd"/>
      <w:r w:rsidRPr="00D26BBA">
        <w:rPr>
          <w:color w:val="333333"/>
        </w:rPr>
        <w:t xml:space="preserve"> протокол се подписва от всички </w:t>
      </w:r>
      <w:r>
        <w:rPr>
          <w:color w:val="333333"/>
        </w:rPr>
        <w:t>членове на СИК и от определените</w:t>
      </w:r>
      <w:r w:rsidRPr="00D26BBA">
        <w:rPr>
          <w:color w:val="333333"/>
        </w:rPr>
        <w:t xml:space="preserve"> членове на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>.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3. Сгрешените секционни протоколи се описват по номера по реда на постъпване в опис, който се съхранява в Общинска избирателна комисия </w:t>
      </w:r>
      <w:r>
        <w:rPr>
          <w:color w:val="333333"/>
        </w:rPr>
        <w:t>Трявна.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4.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366ED9" w:rsidRPr="00D26BBA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26BBA">
        <w:rPr>
          <w:color w:val="333333"/>
        </w:rPr>
        <w:t xml:space="preserve">5. Определя Председателя на Общинска избирателна комисия </w:t>
      </w:r>
      <w:r>
        <w:rPr>
          <w:color w:val="333333"/>
        </w:rPr>
        <w:t>Трявна</w:t>
      </w:r>
      <w:r w:rsidRPr="00D26BBA">
        <w:rPr>
          <w:color w:val="333333"/>
        </w:rPr>
        <w:t xml:space="preserve"> да приема сгрешен протокол (Приложение № 89-МИ и/или Приложение № 90-МИ) и предава нов протокол с </w:t>
      </w:r>
      <w:proofErr w:type="spellStart"/>
      <w:r w:rsidRPr="00D26BBA">
        <w:rPr>
          <w:color w:val="333333"/>
        </w:rPr>
        <w:t>приемо-предавателен</w:t>
      </w:r>
      <w:proofErr w:type="spellEnd"/>
      <w:r w:rsidRPr="00D26BBA">
        <w:rPr>
          <w:color w:val="333333"/>
        </w:rPr>
        <w:t xml:space="preserve"> протокол (Приложение № 88-МИ) от изборните</w:t>
      </w:r>
      <w:r>
        <w:rPr>
          <w:color w:val="333333"/>
        </w:rPr>
        <w:t xml:space="preserve"> книжа на СИК:</w:t>
      </w:r>
    </w:p>
    <w:p w:rsidR="00366ED9" w:rsidRPr="00366ED9" w:rsidRDefault="00366ED9" w:rsidP="00366ED9">
      <w:pPr>
        <w:pStyle w:val="af0"/>
        <w:shd w:val="clear" w:color="auto" w:fill="FFFFFF"/>
        <w:spacing w:after="80"/>
        <w:jc w:val="both"/>
        <w:outlineLvl w:val="0"/>
        <w:rPr>
          <w:color w:val="333333"/>
          <w:lang w:val="en-US"/>
        </w:rPr>
      </w:pPr>
      <w:r w:rsidRPr="00D26BBA">
        <w:rPr>
          <w:color w:val="333333"/>
        </w:rPr>
        <w:t>-</w:t>
      </w:r>
      <w:r>
        <w:rPr>
          <w:color w:val="333333"/>
        </w:rPr>
        <w:t xml:space="preserve"> Антоанета </w:t>
      </w:r>
      <w:proofErr w:type="spellStart"/>
      <w:r>
        <w:rPr>
          <w:color w:val="333333"/>
        </w:rPr>
        <w:t>Добринова</w:t>
      </w:r>
      <w:proofErr w:type="spellEnd"/>
      <w:r>
        <w:rPr>
          <w:color w:val="333333"/>
        </w:rPr>
        <w:t xml:space="preserve"> Иванова</w:t>
      </w:r>
      <w:r w:rsidRPr="00556232">
        <w:rPr>
          <w:color w:val="333333"/>
        </w:rPr>
        <w:t xml:space="preserve"> </w:t>
      </w: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205A65" w:rsidRP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FE78ED" w:rsidRPr="00F4160F" w:rsidRDefault="00683A90" w:rsidP="00F4160F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="00F4160F"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F41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6DA"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205A65" w:rsidRDefault="00D1156E" w:rsidP="00366ED9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en-US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366ED9" w:rsidRPr="00366ED9" w:rsidRDefault="00366ED9" w:rsidP="00366ED9">
      <w:pPr>
        <w:pStyle w:val="a9"/>
        <w:rPr>
          <w:lang w:val="en-US"/>
        </w:rPr>
      </w:pPr>
    </w:p>
    <w:p w:rsidR="00683A90" w:rsidRDefault="00F24FA6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366ED9" w:rsidRPr="00366ED9" w:rsidRDefault="00366ED9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Pr="0079146A" w:rsidRDefault="00683A90" w:rsidP="00683A9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83A90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  <w:bookmarkStart w:id="0" w:name="_GoBack"/>
      <w:bookmarkEnd w:id="0"/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1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6"/>
  </w:num>
  <w:num w:numId="14">
    <w:abstractNumId w:val="1"/>
  </w:num>
  <w:num w:numId="15">
    <w:abstractNumId w:val="11"/>
  </w:num>
  <w:num w:numId="16">
    <w:abstractNumId w:val="20"/>
  </w:num>
  <w:num w:numId="17">
    <w:abstractNumId w:val="8"/>
  </w:num>
  <w:num w:numId="18">
    <w:abstractNumId w:val="17"/>
  </w:num>
  <w:num w:numId="19">
    <w:abstractNumId w:val="6"/>
  </w:num>
  <w:num w:numId="20">
    <w:abstractNumId w:val="22"/>
  </w:num>
  <w:num w:numId="21">
    <w:abstractNumId w:val="15"/>
  </w:num>
  <w:num w:numId="22">
    <w:abstractNumId w:val="2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511B0"/>
    <w:rsid w:val="00056540"/>
    <w:rsid w:val="00057B9F"/>
    <w:rsid w:val="00076466"/>
    <w:rsid w:val="000820FE"/>
    <w:rsid w:val="00091BDD"/>
    <w:rsid w:val="00094FEB"/>
    <w:rsid w:val="000B7A0D"/>
    <w:rsid w:val="000F42A2"/>
    <w:rsid w:val="00114709"/>
    <w:rsid w:val="00145310"/>
    <w:rsid w:val="00150A4E"/>
    <w:rsid w:val="0017124F"/>
    <w:rsid w:val="00177DE3"/>
    <w:rsid w:val="001B063B"/>
    <w:rsid w:val="001B09C0"/>
    <w:rsid w:val="001C344C"/>
    <w:rsid w:val="001D1F6F"/>
    <w:rsid w:val="001E3328"/>
    <w:rsid w:val="001E7200"/>
    <w:rsid w:val="00205A65"/>
    <w:rsid w:val="00210D0B"/>
    <w:rsid w:val="0022607A"/>
    <w:rsid w:val="00273492"/>
    <w:rsid w:val="002A4579"/>
    <w:rsid w:val="002C3D06"/>
    <w:rsid w:val="002D438D"/>
    <w:rsid w:val="002F7CD6"/>
    <w:rsid w:val="003131A2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61D0"/>
    <w:rsid w:val="00555B2E"/>
    <w:rsid w:val="00556E4F"/>
    <w:rsid w:val="00567D36"/>
    <w:rsid w:val="005B4CC0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27909"/>
    <w:rsid w:val="00A35F10"/>
    <w:rsid w:val="00A41A29"/>
    <w:rsid w:val="00A42B2C"/>
    <w:rsid w:val="00A611D7"/>
    <w:rsid w:val="00A646DA"/>
    <w:rsid w:val="00A877EF"/>
    <w:rsid w:val="00A906F0"/>
    <w:rsid w:val="00A9173B"/>
    <w:rsid w:val="00AB462B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B948-2693-4F07-92D2-06DE64FF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12</cp:revision>
  <cp:lastPrinted>2019-09-16T14:41:00Z</cp:lastPrinted>
  <dcterms:created xsi:type="dcterms:W3CDTF">2019-10-07T15:01:00Z</dcterms:created>
  <dcterms:modified xsi:type="dcterms:W3CDTF">2019-10-17T15:48:00Z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